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6.5 Transporter Agency</w:t>
      </w:r>
    </w:p>
    <w:p w:rsidR="00AC48F4" w:rsidRDefault="00AC48F4" w:rsidP="002A273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6.5.1 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Transporters have engaged a person ("</w:t>
      </w:r>
      <w:r>
        <w:rPr>
          <w:rFonts w:ascii="TimesNewRomanPS-BoldMT" w:hAnsi="TimesNewRomanPS-BoldMT" w:cs="TimesNewRomanPS-BoldMT"/>
          <w:b/>
          <w:bCs/>
        </w:rPr>
        <w:t>Transporter Agency</w:t>
      </w:r>
      <w:r>
        <w:rPr>
          <w:rFonts w:ascii="TimesNewRomanPSMT" w:hAnsi="TimesNewRomanPSMT" w:cs="TimesNewRomanPSMT"/>
        </w:rPr>
        <w:t>") to undertake the Transporter Agency Activities.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6.5.2 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"Transporter Agency Activities" are: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(a) </w:t>
      </w:r>
      <w:proofErr w:type="gramStart"/>
      <w:r>
        <w:rPr>
          <w:rFonts w:ascii="TimesNewRomanPSMT" w:hAnsi="TimesNewRomanPSMT" w:cs="TimesNewRomanPSMT"/>
        </w:rPr>
        <w:t>those</w:t>
      </w:r>
      <w:proofErr w:type="gramEnd"/>
      <w:r>
        <w:rPr>
          <w:rFonts w:ascii="TimesNewRomanPSMT" w:hAnsi="TimesNewRomanPSMT" w:cs="TimesNewRomanPSMT"/>
        </w:rPr>
        <w:t xml:space="preserve"> activities necessary for: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 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AC48F4">
        <w:rPr>
          <w:rFonts w:ascii="TimesNewRomanPSMT" w:hAnsi="TimesNewRomanPSMT" w:cs="TimesNewRomanPSMT"/>
          <w:highlight w:val="yellow"/>
        </w:rPr>
        <w:t>determination for each Gas Year of the Annual Quantity</w:t>
      </w:r>
      <w:r>
        <w:rPr>
          <w:rFonts w:ascii="TimesNewRomanPSMT" w:hAnsi="TimesNewRomanPSMT" w:cs="TimesNewRomanPSMT"/>
        </w:rPr>
        <w:t xml:space="preserve"> in respect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40" w:firstLine="261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</w:t>
      </w:r>
      <w:proofErr w:type="gramStart"/>
      <w:r>
        <w:rPr>
          <w:rFonts w:ascii="TimesNewRomanPSMT" w:hAnsi="TimesNewRomanPSMT" w:cs="TimesNewRomanPSMT"/>
        </w:rPr>
        <w:t>of</w:t>
      </w:r>
      <w:proofErr w:type="gramEnd"/>
      <w:r>
        <w:rPr>
          <w:rFonts w:ascii="TimesNewRomanPSMT" w:hAnsi="TimesNewRomanPSMT" w:cs="TimesNewRomanPSMT"/>
        </w:rPr>
        <w:t xml:space="preserve"> Supply Meter Points in accordance with </w:t>
      </w:r>
      <w:r w:rsidRPr="00AC48F4">
        <w:rPr>
          <w:rFonts w:ascii="TimesNewRomanPSMT" w:hAnsi="TimesNewRomanPSMT" w:cs="TimesNewRomanPSMT"/>
          <w:highlight w:val="yellow"/>
        </w:rPr>
        <w:t>Section G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(ii) 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AC48F4">
        <w:rPr>
          <w:rFonts w:ascii="TimesNewRomanPSMT" w:hAnsi="TimesNewRomanPSMT" w:cs="TimesNewRomanPSMT"/>
          <w:highlight w:val="yellow"/>
        </w:rPr>
        <w:t>maintenance of the Supply Point Register</w:t>
      </w:r>
      <w:r>
        <w:rPr>
          <w:rFonts w:ascii="TimesNewRomanPSMT" w:hAnsi="TimesNewRomanPSMT" w:cs="TimesNewRomanPSMT"/>
        </w:rPr>
        <w:t xml:space="preserve"> and the performance of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/>
        <w:jc w:val="both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Transporter's obligations in relation thereto in accordance with </w:t>
      </w:r>
      <w:r w:rsidRPr="00AC48F4">
        <w:rPr>
          <w:rFonts w:ascii="TimesNewRomanPSMT" w:hAnsi="TimesNewRomanPSMT" w:cs="TimesNewRomanPSMT"/>
          <w:highlight w:val="yellow"/>
        </w:rPr>
        <w:t>Section   G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(iii)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AC48F4">
        <w:rPr>
          <w:rFonts w:ascii="TimesNewRomanPSMT" w:hAnsi="TimesNewRomanPSMT" w:cs="TimesNewRomanPSMT"/>
          <w:highlight w:val="yellow"/>
        </w:rPr>
        <w:t>generation of Supply Meter Point Reference Numbers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</w:p>
    <w:p w:rsidR="002A2733" w:rsidRPr="00AC48F4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  <w:highlight w:val="yellow"/>
        </w:rPr>
      </w:pPr>
      <w:r>
        <w:rPr>
          <w:rFonts w:ascii="TimesNewRomanPSMT" w:hAnsi="TimesNewRomanPSMT" w:cs="TimesNewRomanPSMT"/>
        </w:rPr>
        <w:t xml:space="preserve">(iv)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performance of the Transporter's obligations in relation to </w:t>
      </w:r>
      <w:r w:rsidRPr="00AC48F4">
        <w:rPr>
          <w:rFonts w:ascii="TimesNewRomanPSMT" w:hAnsi="TimesNewRomanPSMT" w:cs="TimesNewRomanPSMT"/>
          <w:highlight w:val="yellow"/>
        </w:rPr>
        <w:t>demand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jc w:val="both"/>
        <w:rPr>
          <w:rFonts w:ascii="TimesNewRomanPSMT" w:hAnsi="TimesNewRomanPSMT" w:cs="TimesNewRomanPSMT"/>
        </w:rPr>
      </w:pPr>
      <w:proofErr w:type="gramStart"/>
      <w:r w:rsidRPr="00AC48F4">
        <w:rPr>
          <w:rFonts w:ascii="TimesNewRomanPSMT" w:hAnsi="TimesNewRomanPSMT" w:cs="TimesNewRomanPSMT"/>
          <w:highlight w:val="yellow"/>
        </w:rPr>
        <w:t>estimation</w:t>
      </w:r>
      <w:proofErr w:type="gramEnd"/>
      <w:r>
        <w:rPr>
          <w:rFonts w:ascii="TimesNewRomanPSMT" w:hAnsi="TimesNewRomanPSMT" w:cs="TimesNewRomanPSMT"/>
        </w:rPr>
        <w:t xml:space="preserve"> in accordance with Section H, including the derivation of the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Composite Weather Variable, the </w:t>
      </w:r>
      <w:r w:rsidRPr="00AC48F4">
        <w:rPr>
          <w:rFonts w:ascii="TimesNewRomanPSMT" w:hAnsi="TimesNewRomanPSMT" w:cs="TimesNewRomanPSMT"/>
          <w:highlight w:val="yellow"/>
        </w:rPr>
        <w:t>development of Demand Models</w:t>
      </w:r>
      <w:r>
        <w:rPr>
          <w:rFonts w:ascii="TimesNewRomanPSMT" w:hAnsi="TimesNewRomanPSMT" w:cs="TimesNewRomanPSMT"/>
        </w:rPr>
        <w:t xml:space="preserve"> and</w:t>
      </w:r>
    </w:p>
    <w:p w:rsidR="002A2733" w:rsidRPr="00AC48F4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jc w:val="both"/>
        <w:rPr>
          <w:rFonts w:ascii="TimesNewRomanPSMT" w:hAnsi="TimesNewRomanPSMT" w:cs="TimesNewRomanPSMT"/>
          <w:highlight w:val="yellow"/>
        </w:rPr>
      </w:pPr>
      <w:r w:rsidRPr="00AC48F4">
        <w:rPr>
          <w:rFonts w:ascii="TimesNewRomanPSMT" w:hAnsi="TimesNewRomanPSMT" w:cs="TimesNewRomanPSMT"/>
          <w:highlight w:val="yellow"/>
        </w:rPr>
        <w:t>End User Categories</w:t>
      </w:r>
      <w:r>
        <w:rPr>
          <w:rFonts w:ascii="TimesNewRomanPSMT" w:hAnsi="TimesNewRomanPSMT" w:cs="TimesNewRomanPSMT"/>
        </w:rPr>
        <w:t xml:space="preserve">, the determination of </w:t>
      </w:r>
      <w:r w:rsidRPr="00AC48F4">
        <w:rPr>
          <w:rFonts w:ascii="TimesNewRomanPSMT" w:hAnsi="TimesNewRomanPSMT" w:cs="TimesNewRomanPSMT"/>
          <w:highlight w:val="yellow"/>
        </w:rPr>
        <w:t>NDM Supply Meter Point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jc w:val="both"/>
        <w:rPr>
          <w:rFonts w:ascii="TimesNewRomanPSMT" w:hAnsi="TimesNewRomanPSMT" w:cs="TimesNewRomanPSMT"/>
        </w:rPr>
      </w:pPr>
      <w:r w:rsidRPr="00AC48F4">
        <w:rPr>
          <w:rFonts w:ascii="TimesNewRomanPSMT" w:hAnsi="TimesNewRomanPSMT" w:cs="TimesNewRomanPSMT"/>
          <w:highlight w:val="yellow"/>
        </w:rPr>
        <w:t>Demand</w:t>
      </w:r>
      <w:r>
        <w:rPr>
          <w:rFonts w:ascii="TimesNewRomanPSMT" w:hAnsi="TimesNewRomanPSMT" w:cs="TimesNewRomanPSMT"/>
        </w:rPr>
        <w:t xml:space="preserve"> and </w:t>
      </w:r>
      <w:r w:rsidRPr="00AC48F4">
        <w:rPr>
          <w:rFonts w:ascii="TimesNewRomanPSMT" w:hAnsi="TimesNewRomanPSMT" w:cs="TimesNewRomanPSMT"/>
          <w:highlight w:val="yellow"/>
        </w:rPr>
        <w:t>NDM Annual Quantities</w:t>
      </w:r>
      <w:r>
        <w:rPr>
          <w:rFonts w:ascii="TimesNewRomanPSMT" w:hAnsi="TimesNewRomanPSMT" w:cs="TimesNewRomanPSMT"/>
        </w:rPr>
        <w:t xml:space="preserve"> in respect of a Gas Year and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jc w:val="both"/>
        <w:rPr>
          <w:rFonts w:ascii="TimesNewRomanPSMT" w:hAnsi="TimesNewRomanPSMT" w:cs="TimesNewRomanPSMT"/>
        </w:rPr>
      </w:pPr>
      <w:proofErr w:type="gramStart"/>
      <w:r w:rsidRPr="00AC48F4">
        <w:rPr>
          <w:rFonts w:ascii="TimesNewRomanPSMT" w:hAnsi="TimesNewRomanPSMT" w:cs="TimesNewRomanPSMT"/>
          <w:highlight w:val="yellow"/>
        </w:rPr>
        <w:t>daily</w:t>
      </w:r>
      <w:proofErr w:type="gramEnd"/>
      <w:r w:rsidRPr="00AC48F4">
        <w:rPr>
          <w:rFonts w:ascii="TimesNewRomanPSMT" w:hAnsi="TimesNewRomanPSMT" w:cs="TimesNewRomanPSMT"/>
          <w:highlight w:val="yellow"/>
        </w:rPr>
        <w:t xml:space="preserve"> demand forecasting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(v) 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AC48F4">
        <w:rPr>
          <w:rFonts w:ascii="TimesNewRomanPSMT" w:hAnsi="TimesNewRomanPSMT" w:cs="TimesNewRomanPSMT"/>
          <w:highlight w:val="yellow"/>
        </w:rPr>
        <w:t>validation of Meter Readings</w:t>
      </w:r>
      <w:r>
        <w:rPr>
          <w:rFonts w:ascii="TimesNewRomanPSMT" w:hAnsi="TimesNewRomanPSMT" w:cs="TimesNewRomanPSMT"/>
        </w:rPr>
        <w:t xml:space="preserve"> in accordance with </w:t>
      </w:r>
      <w:r w:rsidRPr="00AC48F4">
        <w:rPr>
          <w:rFonts w:ascii="TimesNewRomanPSMT" w:hAnsi="TimesNewRomanPSMT" w:cs="TimesNewRomanPSMT"/>
          <w:highlight w:val="yellow"/>
        </w:rPr>
        <w:t>Section M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</w:p>
    <w:p w:rsidR="002A2733" w:rsidRPr="00AC48F4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  <w:highlight w:val="yellow"/>
        </w:rPr>
      </w:pPr>
      <w:r>
        <w:rPr>
          <w:rFonts w:ascii="TimesNewRomanPSMT" w:hAnsi="TimesNewRomanPSMT" w:cs="TimesNewRomanPSMT"/>
        </w:rPr>
        <w:t xml:space="preserve">(vi)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AC48F4">
        <w:rPr>
          <w:rFonts w:ascii="TimesNewRomanPSMT" w:hAnsi="TimesNewRomanPSMT" w:cs="TimesNewRomanPSMT"/>
          <w:highlight w:val="yellow"/>
        </w:rPr>
        <w:t>notification by a Transporter of the failure to obtain a Valid Meter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1843"/>
        <w:rPr>
          <w:rFonts w:ascii="TimesNewRomanPSMT" w:hAnsi="TimesNewRomanPSMT" w:cs="TimesNewRomanPSMT"/>
        </w:rPr>
      </w:pPr>
      <w:r w:rsidRPr="00AC48F4">
        <w:rPr>
          <w:rFonts w:ascii="TimesNewRomanPSMT" w:hAnsi="TimesNewRomanPSMT" w:cs="TimesNewRomanPSMT"/>
          <w:highlight w:val="yellow"/>
        </w:rPr>
        <w:t>Reading</w:t>
      </w:r>
      <w:r>
        <w:rPr>
          <w:rFonts w:ascii="TimesNewRomanPSMT" w:hAnsi="TimesNewRomanPSMT" w:cs="TimesNewRomanPSMT"/>
        </w:rPr>
        <w:t xml:space="preserve"> in accordance with </w:t>
      </w:r>
      <w:r w:rsidRPr="00AC48F4">
        <w:rPr>
          <w:rFonts w:ascii="TimesNewRomanPSMT" w:hAnsi="TimesNewRomanPSMT" w:cs="TimesNewRomanPSMT"/>
          <w:highlight w:val="yellow"/>
        </w:rPr>
        <w:t>Section M3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 w:hanging="425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 w:hanging="425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(vii) the </w:t>
      </w:r>
      <w:r w:rsidRPr="00AC48F4">
        <w:rPr>
          <w:rFonts w:ascii="TimesNewRomanPSMT" w:hAnsi="TimesNewRomanPSMT" w:cs="TimesNewRomanPSMT"/>
          <w:highlight w:val="yellow"/>
        </w:rPr>
        <w:t>calculation of Invoice Amounts</w:t>
      </w:r>
      <w:r>
        <w:rPr>
          <w:rFonts w:ascii="TimesNewRomanPSMT" w:hAnsi="TimesNewRomanPSMT" w:cs="TimesNewRomanPSMT"/>
        </w:rPr>
        <w:t xml:space="preserve">, the </w:t>
      </w:r>
      <w:r w:rsidRPr="00AC48F4">
        <w:rPr>
          <w:rFonts w:ascii="TimesNewRomanPSMT" w:hAnsi="TimesNewRomanPSMT" w:cs="TimesNewRomanPSMT"/>
          <w:highlight w:val="yellow"/>
        </w:rPr>
        <w:t>submission of Invoice Documents</w:t>
      </w:r>
      <w:r>
        <w:rPr>
          <w:rFonts w:ascii="TimesNewRomanPSMT" w:hAnsi="TimesNewRomanPSMT" w:cs="TimesNewRomanPSMT"/>
        </w:rPr>
        <w:t xml:space="preserve">    and the </w:t>
      </w:r>
      <w:r w:rsidRPr="00AC48F4">
        <w:rPr>
          <w:rFonts w:ascii="TimesNewRomanPSMT" w:hAnsi="TimesNewRomanPSMT" w:cs="TimesNewRomanPSMT"/>
          <w:highlight w:val="yellow"/>
        </w:rPr>
        <w:t>resolution of Invoice Queries</w:t>
      </w:r>
      <w:r>
        <w:rPr>
          <w:rFonts w:ascii="TimesNewRomanPSMT" w:hAnsi="TimesNewRomanPSMT" w:cs="TimesNewRomanPSMT"/>
        </w:rPr>
        <w:t xml:space="preserve"> in accordance with </w:t>
      </w:r>
      <w:r w:rsidRPr="00AC48F4">
        <w:rPr>
          <w:rFonts w:ascii="TimesNewRomanPSMT" w:hAnsi="TimesNewRomanPSMT" w:cs="TimesNewRomanPSMT"/>
          <w:highlight w:val="yellow"/>
        </w:rPr>
        <w:t>Section S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(viii)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implementation by the Transporters of </w:t>
      </w:r>
      <w:commentRangeStart w:id="0"/>
      <w:r w:rsidRPr="00AC48F4">
        <w:rPr>
          <w:rFonts w:ascii="TimesNewRomanPSMT" w:hAnsi="TimesNewRomanPSMT" w:cs="TimesNewRomanPSMT"/>
          <w:highlight w:val="yellow"/>
        </w:rPr>
        <w:t>Section U</w:t>
      </w:r>
      <w:r>
        <w:rPr>
          <w:rFonts w:ascii="TimesNewRomanPSMT" w:hAnsi="TimesNewRomanPSMT" w:cs="TimesNewRomanPSMT"/>
        </w:rPr>
        <w:t>;</w:t>
      </w:r>
      <w:commentRangeEnd w:id="0"/>
      <w:r w:rsidR="00AC48F4">
        <w:rPr>
          <w:rStyle w:val="CommentReference"/>
        </w:rPr>
        <w:commentReference w:id="0"/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 w:hanging="425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(ix)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admission and termination of Shipper Users in accordance with </w:t>
      </w:r>
      <w:r w:rsidRPr="00AC48F4">
        <w:rPr>
          <w:rFonts w:ascii="TimesNewRomanPSMT" w:hAnsi="TimesNewRomanPSMT" w:cs="TimesNewRomanPSMT"/>
          <w:highlight w:val="yellow"/>
        </w:rPr>
        <w:t>Sections V2 and V4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  <w:r w:rsidRPr="00AC48F4">
        <w:rPr>
          <w:rFonts w:ascii="TimesNewRomanPSMT" w:hAnsi="TimesNewRomanPSMT" w:cs="TimesNewRomanPSMT"/>
          <w:highlight w:val="yellow"/>
        </w:rPr>
        <w:t xml:space="preserve">(x)   </w:t>
      </w:r>
      <w:proofErr w:type="gramStart"/>
      <w:r w:rsidRPr="00AC48F4">
        <w:rPr>
          <w:rFonts w:ascii="TimesNewRomanPSMT" w:hAnsi="TimesNewRomanPSMT" w:cs="TimesNewRomanPSMT"/>
          <w:highlight w:val="yellow"/>
        </w:rPr>
        <w:t>the</w:t>
      </w:r>
      <w:proofErr w:type="gramEnd"/>
      <w:r w:rsidRPr="00AC48F4">
        <w:rPr>
          <w:rFonts w:ascii="TimesNewRomanPSMT" w:hAnsi="TimesNewRomanPSMT" w:cs="TimesNewRomanPSMT"/>
          <w:highlight w:val="yellow"/>
        </w:rPr>
        <w:t xml:space="preserve"> implementation by National Grid NTS of Section X;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(b)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>performance of the Transporter's obligations</w:t>
      </w:r>
      <w:r>
        <w:rPr>
          <w:rFonts w:ascii="TimesNewRomanPSMT" w:hAnsi="TimesNewRomanPSMT" w:cs="TimesNewRomanPSMT"/>
        </w:rPr>
        <w:t xml:space="preserve"> in Code in relation to: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</w:t>
      </w:r>
      <w:r w:rsidR="009D2E98">
        <w:rPr>
          <w:rFonts w:ascii="TimesNewRomanPSMT" w:hAnsi="TimesNewRomanPSMT" w:cs="TimesNewRomanPSMT"/>
        </w:rPr>
        <w:t xml:space="preserve">   </w:t>
      </w:r>
      <w:proofErr w:type="gramStart"/>
      <w:r w:rsidRPr="006A44FD">
        <w:rPr>
          <w:rFonts w:ascii="TimesNewRomanPSMT" w:hAnsi="TimesNewRomanPSMT" w:cs="TimesNewRomanPSMT"/>
          <w:highlight w:val="yellow"/>
        </w:rPr>
        <w:t>the</w:t>
      </w:r>
      <w:proofErr w:type="gramEnd"/>
      <w:r w:rsidRPr="006A44FD">
        <w:rPr>
          <w:rFonts w:ascii="TimesNewRomanPSMT" w:hAnsi="TimesNewRomanPSMT" w:cs="TimesNewRomanPSMT"/>
          <w:highlight w:val="yellow"/>
        </w:rPr>
        <w:t xml:space="preserve"> illegal taking of gas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</w:rPr>
      </w:pPr>
    </w:p>
    <w:p w:rsidR="002A2733" w:rsidRPr="006A44FD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  <w:highlight w:val="yellow"/>
        </w:rPr>
      </w:pPr>
      <w:r>
        <w:rPr>
          <w:rFonts w:ascii="TimesNewRomanPSMT" w:hAnsi="TimesNewRomanPSMT" w:cs="TimesNewRomanPSMT"/>
        </w:rPr>
        <w:t xml:space="preserve">(ii)  </w:t>
      </w:r>
      <w:r w:rsidR="009D2E98"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>receiving and processing data to enable quantities of gas to be</w:t>
      </w:r>
    </w:p>
    <w:p w:rsidR="002A2733" w:rsidRPr="006A44FD" w:rsidRDefault="002A2733" w:rsidP="009D2E98">
      <w:pPr>
        <w:autoSpaceDE w:val="0"/>
        <w:autoSpaceDN w:val="0"/>
        <w:adjustRightInd w:val="0"/>
        <w:spacing w:after="0" w:line="240" w:lineRule="auto"/>
        <w:ind w:left="1843"/>
        <w:rPr>
          <w:rFonts w:ascii="TimesNewRomanPSMT" w:hAnsi="TimesNewRomanPSMT" w:cs="TimesNewRomanPSMT"/>
          <w:highlight w:val="yellow"/>
        </w:rPr>
      </w:pPr>
      <w:proofErr w:type="gramStart"/>
      <w:r w:rsidRPr="006A44FD">
        <w:rPr>
          <w:rFonts w:ascii="TimesNewRomanPSMT" w:hAnsi="TimesNewRomanPSMT" w:cs="TimesNewRomanPSMT"/>
          <w:highlight w:val="yellow"/>
        </w:rPr>
        <w:t>allocated</w:t>
      </w:r>
      <w:proofErr w:type="gramEnd"/>
      <w:r w:rsidRPr="006A44FD">
        <w:rPr>
          <w:rFonts w:ascii="TimesNewRomanPSMT" w:hAnsi="TimesNewRomanPSMT" w:cs="TimesNewRomanPSMT"/>
          <w:highlight w:val="yellow"/>
        </w:rPr>
        <w:t xml:space="preserve"> to Users at </w:t>
      </w:r>
      <w:proofErr w:type="spellStart"/>
      <w:r w:rsidRPr="006A44FD">
        <w:rPr>
          <w:rFonts w:ascii="TimesNewRomanPSMT" w:hAnsi="TimesNewRomanPSMT" w:cs="TimesNewRomanPSMT"/>
          <w:highlight w:val="yellow"/>
        </w:rPr>
        <w:t>NExA</w:t>
      </w:r>
      <w:proofErr w:type="spellEnd"/>
      <w:r w:rsidRPr="006A44FD">
        <w:rPr>
          <w:rFonts w:ascii="TimesNewRomanPSMT" w:hAnsi="TimesNewRomanPSMT" w:cs="TimesNewRomanPSMT"/>
          <w:highlight w:val="yellow"/>
        </w:rPr>
        <w:t xml:space="preserve"> Supply Meter Points and Connected System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843"/>
        <w:rPr>
          <w:rFonts w:ascii="TimesNewRomanPSMT" w:hAnsi="TimesNewRomanPSMT" w:cs="TimesNewRomanPSMT"/>
        </w:rPr>
      </w:pPr>
      <w:r w:rsidRPr="006A44FD">
        <w:rPr>
          <w:rFonts w:ascii="TimesNewRomanPSMT" w:hAnsi="TimesNewRomanPSMT" w:cs="TimesNewRomanPSMT"/>
          <w:highlight w:val="yellow"/>
        </w:rPr>
        <w:t>Exit Points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 w:hanging="403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(c)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>transmission and receipt of Code Communications for the purposes   referred to in paragraphs (a) and (b)</w:t>
      </w:r>
      <w:r>
        <w:rPr>
          <w:rFonts w:ascii="TimesNewRomanPSMT" w:hAnsi="TimesNewRomanPSMT" w:cs="TimesNewRomanPSMT"/>
        </w:rPr>
        <w:t>; and</w:t>
      </w: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418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ind w:left="1843" w:hanging="425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(d) 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 xml:space="preserve">performance of the Transporters’ functions in relation to the </w:t>
      </w:r>
      <w:commentRangeStart w:id="1"/>
      <w:r w:rsidRPr="006A44FD">
        <w:rPr>
          <w:rFonts w:ascii="TimesNewRomanPSMT" w:hAnsi="TimesNewRomanPSMT" w:cs="TimesNewRomanPSMT"/>
          <w:highlight w:val="yellow"/>
        </w:rPr>
        <w:t>engagement of the AUG Expert</w:t>
      </w:r>
      <w:r>
        <w:rPr>
          <w:rFonts w:ascii="TimesNewRomanPSMT" w:hAnsi="TimesNewRomanPSMT" w:cs="TimesNewRomanPSMT"/>
        </w:rPr>
        <w:t xml:space="preserve"> </w:t>
      </w:r>
      <w:commentRangeEnd w:id="1"/>
      <w:r w:rsidR="006A44FD">
        <w:rPr>
          <w:rStyle w:val="CommentReference"/>
        </w:rPr>
        <w:commentReference w:id="1"/>
      </w:r>
      <w:r>
        <w:rPr>
          <w:rFonts w:ascii="TimesNewRomanPSMT" w:hAnsi="TimesNewRomanPSMT" w:cs="TimesNewRomanPSMT"/>
        </w:rPr>
        <w:t xml:space="preserve">under </w:t>
      </w:r>
      <w:r w:rsidRPr="006A44FD">
        <w:rPr>
          <w:rFonts w:ascii="TimesNewRomanPSMT" w:hAnsi="TimesNewRomanPSMT" w:cs="TimesNewRomanPSMT"/>
          <w:highlight w:val="yellow"/>
        </w:rPr>
        <w:t>Section E9</w:t>
      </w:r>
      <w:r>
        <w:rPr>
          <w:rFonts w:ascii="TimesNewRomanPSMT" w:hAnsi="TimesNewRomanPSMT" w:cs="TimesNewRomanPSMT"/>
        </w:rPr>
        <w:t>;</w:t>
      </w:r>
    </w:p>
    <w:p w:rsidR="002A2733" w:rsidRDefault="002A2733" w:rsidP="002A2733">
      <w:pPr>
        <w:spacing w:after="0"/>
        <w:ind w:left="1418"/>
        <w:rPr>
          <w:rFonts w:ascii="TimesNewRomanPSMT" w:hAnsi="TimesNewRomanPSMT" w:cs="TimesNewRomanPSMT"/>
        </w:rPr>
      </w:pPr>
    </w:p>
    <w:p w:rsidR="002A2733" w:rsidRDefault="002A2733" w:rsidP="009D2E98">
      <w:pPr>
        <w:spacing w:after="0"/>
        <w:ind w:left="1843" w:hanging="425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 xml:space="preserve">(e) </w:t>
      </w:r>
      <w:r w:rsidR="009D2E98"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>provision, operation, maintena</w:t>
      </w:r>
      <w:r w:rsidR="009D2E98" w:rsidRPr="006A44FD">
        <w:rPr>
          <w:rFonts w:ascii="TimesNewRomanPSMT" w:hAnsi="TimesNewRomanPSMT" w:cs="TimesNewRomanPSMT"/>
          <w:highlight w:val="yellow"/>
        </w:rPr>
        <w:t xml:space="preserve">nce and development of computer </w:t>
      </w:r>
      <w:r w:rsidRPr="006A44FD">
        <w:rPr>
          <w:rFonts w:ascii="TimesNewRomanPSMT" w:hAnsi="TimesNewRomanPSMT" w:cs="TimesNewRomanPSMT"/>
          <w:highlight w:val="yellow"/>
        </w:rPr>
        <w:t>systems</w:t>
      </w:r>
      <w:r>
        <w:rPr>
          <w:rFonts w:ascii="TimesNewRomanPSMT" w:hAnsi="TimesNewRomanPSMT" w:cs="TimesNewRomanPSMT"/>
        </w:rPr>
        <w:t>;</w:t>
      </w:r>
    </w:p>
    <w:p w:rsidR="006A44FD" w:rsidRDefault="006A44FD" w:rsidP="009D2E98">
      <w:pPr>
        <w:spacing w:after="0"/>
        <w:ind w:left="1843" w:hanging="425"/>
        <w:rPr>
          <w:rFonts w:ascii="TimesNewRomanPSMT" w:hAnsi="TimesNewRomanPSMT" w:cs="TimesNewRomanPSMT"/>
        </w:rPr>
      </w:pPr>
    </w:p>
    <w:p w:rsidR="002A2733" w:rsidRDefault="002A2733" w:rsidP="009D2E98">
      <w:pPr>
        <w:spacing w:after="0"/>
        <w:ind w:left="1701" w:hanging="283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(f) </w:t>
      </w:r>
      <w:r w:rsidR="009D2E98"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to</w:t>
      </w:r>
      <w:proofErr w:type="gramEnd"/>
      <w:r>
        <w:rPr>
          <w:rFonts w:ascii="TimesNewRomanPSMT" w:hAnsi="TimesNewRomanPSMT" w:cs="TimesNewRomanPSMT"/>
        </w:rPr>
        <w:t xml:space="preserve"> </w:t>
      </w:r>
      <w:r w:rsidRPr="006A44FD">
        <w:rPr>
          <w:rFonts w:ascii="TimesNewRomanPSMT" w:hAnsi="TimesNewRomanPSMT" w:cs="TimesNewRomanPSMT"/>
          <w:highlight w:val="yellow"/>
        </w:rPr>
        <w:t>support the implementation of Sections B, C, D, E, F, G, H, M, S, U and X</w:t>
      </w:r>
      <w:r>
        <w:rPr>
          <w:rFonts w:ascii="TimesNewRomanPSMT" w:hAnsi="TimesNewRomanPSMT" w:cs="TimesNewRomanPSMT"/>
        </w:rPr>
        <w:t>;</w:t>
      </w:r>
    </w:p>
    <w:p w:rsidR="009D2E98" w:rsidRDefault="009D2E98" w:rsidP="009D2E98">
      <w:pPr>
        <w:spacing w:after="0"/>
        <w:ind w:left="1701" w:hanging="283"/>
        <w:rPr>
          <w:rFonts w:ascii="TimesNewRomanPSMT" w:hAnsi="TimesNewRomanPSMT" w:cs="TimesNewRomanPSMT"/>
        </w:rPr>
      </w:pP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981"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</w:t>
      </w:r>
      <w:r w:rsidR="009D2E98"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to</w:t>
      </w:r>
      <w:proofErr w:type="gramEnd"/>
      <w:r>
        <w:rPr>
          <w:rFonts w:ascii="TimesNewRomanPSMT" w:hAnsi="TimesNewRomanPSMT" w:cs="TimesNewRomanPSMT"/>
        </w:rPr>
        <w:t xml:space="preserve"> the extent not covered in paragraph 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>), for the purposes of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985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supporting</w:t>
      </w:r>
      <w:proofErr w:type="gramEnd"/>
      <w:r>
        <w:rPr>
          <w:rFonts w:ascii="TimesNewRomanPSMT" w:hAnsi="TimesNewRomanPSMT" w:cs="TimesNewRomanPSMT"/>
        </w:rPr>
        <w:t xml:space="preserve"> the implementation of the matters referred to in paragraphs</w:t>
      </w:r>
    </w:p>
    <w:p w:rsidR="002A2733" w:rsidRDefault="002A2733" w:rsidP="009D2E98">
      <w:pPr>
        <w:spacing w:after="0"/>
        <w:ind w:left="1985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(a), (b) and (c).</w:t>
      </w:r>
      <w:proofErr w:type="gramEnd"/>
    </w:p>
    <w:p w:rsidR="002A2733" w:rsidRDefault="002A2733" w:rsidP="002A2733">
      <w:pPr>
        <w:spacing w:after="0"/>
        <w:rPr>
          <w:rFonts w:ascii="TimesNewRomanPSMT" w:hAnsi="TimesNewRomanPSMT" w:cs="TimesNewRomanPSMT"/>
        </w:rPr>
      </w:pP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6.5.3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 Where</w:t>
      </w:r>
      <w:proofErr w:type="gramEnd"/>
      <w:r>
        <w:rPr>
          <w:rFonts w:ascii="TimesNewRomanPSMT" w:hAnsi="TimesNewRomanPSMT" w:cs="TimesNewRomanPSMT"/>
        </w:rPr>
        <w:t xml:space="preserve"> the agreement between the Transporters for the purposes of this paragraph 6.5 so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provides, the Transporter Agency will act on behalf of the Transporters in respect of the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exercise of any discretion or rights conferred on the Transporters, the performance of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the Transporters' obligations and the giving and receiving of Code Communications in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each case for the purposes of and in connection with the Transporter Agency Activities.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6.5.4 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Any</w:t>
      </w:r>
      <w:proofErr w:type="gramEnd"/>
      <w:r>
        <w:rPr>
          <w:rFonts w:ascii="TimesNewRomanPSMT" w:hAnsi="TimesNewRomanPSMT" w:cs="TimesNewRomanPSMT"/>
        </w:rPr>
        <w:t xml:space="preserve"> Code Communication given by the Transporter Agency in relation to the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Transporter Agency Activities shall be deemed to have been given by and be binding on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the Transporter and Users shall be entitled without enquiry as to the authority of the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Transporter Agency to rely on such Code Communication.</w:t>
      </w:r>
      <w:proofErr w:type="gramEnd"/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6.5.5 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Where</w:t>
      </w:r>
      <w:proofErr w:type="gramEnd"/>
      <w:r>
        <w:rPr>
          <w:rFonts w:ascii="TimesNewRomanPSMT" w:hAnsi="TimesNewRomanPSMT" w:cs="TimesNewRomanPSMT"/>
        </w:rPr>
        <w:t xml:space="preserve"> there is a requirement in the Code that a User give for the purposes of the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Transporter Agency Activities a Code Communication to the Transporters collectively,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567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User shall be treated as having complied with any such requirement where the User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gives the Code Communication to the Transporter Agency.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6.5.6 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Where</w:t>
      </w:r>
      <w:proofErr w:type="gramEnd"/>
      <w:r>
        <w:rPr>
          <w:rFonts w:ascii="TimesNewRomanPSMT" w:hAnsi="TimesNewRomanPSMT" w:cs="TimesNewRomanPSMT"/>
        </w:rPr>
        <w:t xml:space="preserve"> for the purposes of Section U: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Pr="009D2E98" w:rsidRDefault="002A2733" w:rsidP="009D2E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9D2E98">
        <w:rPr>
          <w:rFonts w:ascii="TimesNewRomanPSMT" w:hAnsi="TimesNewRomanPSMT" w:cs="TimesNewRomanPSMT"/>
        </w:rPr>
        <w:t xml:space="preserve"> there is a requirement that the Transporters provide or make available to a User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134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computer</w:t>
      </w:r>
      <w:proofErr w:type="gramEnd"/>
      <w:r>
        <w:rPr>
          <w:rFonts w:ascii="TimesNewRomanPSMT" w:hAnsi="TimesNewRomanPSMT" w:cs="TimesNewRomanPSMT"/>
        </w:rPr>
        <w:t xml:space="preserve"> hardware, other equipment or computer software the Transporters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shall be treated as having complied with the requirement where the computer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hardware, other equipment or computer software is provided or made available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by the Transporter Agency;</w:t>
      </w:r>
    </w:p>
    <w:p w:rsidR="009D2E98" w:rsidRDefault="009D2E98" w:rsidP="009D2E98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MT" w:hAnsi="TimesNewRomanPSMT" w:cs="TimesNewRomanPSMT"/>
        </w:rPr>
      </w:pP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(b) </w:t>
      </w:r>
      <w:r w:rsidR="009D2E98"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there</w:t>
      </w:r>
      <w:proofErr w:type="gramEnd"/>
      <w:r>
        <w:rPr>
          <w:rFonts w:ascii="TimesNewRomanPSMT" w:hAnsi="TimesNewRomanPSMT" w:cs="TimesNewRomanPSMT"/>
        </w:rPr>
        <w:t xml:space="preserve"> is a requirement that a User returns computer hardware, other equipment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134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or</w:t>
      </w:r>
      <w:proofErr w:type="gramEnd"/>
      <w:r>
        <w:rPr>
          <w:rFonts w:ascii="TimesNewRomanPSMT" w:hAnsi="TimesNewRomanPSMT" w:cs="TimesNewRomanPSMT"/>
        </w:rPr>
        <w:t xml:space="preserve"> computer software to the Transporters the User shall be treated as having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134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complied</w:t>
      </w:r>
      <w:proofErr w:type="gramEnd"/>
      <w:r>
        <w:rPr>
          <w:rFonts w:ascii="TimesNewRomanPSMT" w:hAnsi="TimesNewRomanPSMT" w:cs="TimesNewRomanPSMT"/>
        </w:rPr>
        <w:t xml:space="preserve"> with the requirement where the computer hardware, other equipment</w:t>
      </w:r>
    </w:p>
    <w:p w:rsidR="002A2733" w:rsidRDefault="002A2733" w:rsidP="009D2E98">
      <w:pPr>
        <w:autoSpaceDE w:val="0"/>
        <w:autoSpaceDN w:val="0"/>
        <w:adjustRightInd w:val="0"/>
        <w:spacing w:after="0" w:line="240" w:lineRule="auto"/>
        <w:ind w:left="1134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or</w:t>
      </w:r>
      <w:proofErr w:type="gramEnd"/>
      <w:r>
        <w:rPr>
          <w:rFonts w:ascii="TimesNewRomanPSMT" w:hAnsi="TimesNewRomanPSMT" w:cs="TimesNewRomanPSMT"/>
        </w:rPr>
        <w:t xml:space="preserve"> computer software is returned to the Transporter Agency.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 xml:space="preserve">6.5.7 </w:t>
      </w:r>
      <w:r w:rsidR="004865BE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Nothing</w:t>
      </w:r>
      <w:proofErr w:type="gramEnd"/>
      <w:r>
        <w:rPr>
          <w:rFonts w:ascii="TimesNewRomanPSMT" w:hAnsi="TimesNewRomanPSMT" w:cs="TimesNewRomanPSMT"/>
        </w:rPr>
        <w:t xml:space="preserve"> in this paragraph 6.5 shall prevent or restrict a Transporter from appointing</w:t>
      </w:r>
    </w:p>
    <w:p w:rsidR="002A2733" w:rsidRDefault="002A2733" w:rsidP="004865BE">
      <w:pPr>
        <w:autoSpaceDE w:val="0"/>
        <w:autoSpaceDN w:val="0"/>
        <w:adjustRightInd w:val="0"/>
        <w:spacing w:after="0" w:line="240" w:lineRule="auto"/>
        <w:ind w:left="567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another person to be the agent of the Transporter for the purposes of the Code other than</w:t>
      </w:r>
      <w:r w:rsidR="004865BE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in respect of or in relation to Transporter Agency Activities and where a Transporter</w:t>
      </w:r>
      <w:r w:rsidR="004865BE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wishes to appoint an agent it shall give notice to each User specifying the identity of the</w:t>
      </w:r>
      <w:r w:rsidR="004865BE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proposed agent and the purposes in respect of which the agent is to be appointed.</w:t>
      </w:r>
    </w:p>
    <w:p w:rsidR="009D2E98" w:rsidRDefault="009D2E98" w:rsidP="002A27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2A2733" w:rsidRDefault="002A2733" w:rsidP="004865BE">
      <w:pPr>
        <w:autoSpaceDE w:val="0"/>
        <w:autoSpaceDN w:val="0"/>
        <w:adjustRightInd w:val="0"/>
        <w:spacing w:after="0" w:line="240" w:lineRule="auto"/>
        <w:ind w:left="567" w:hanging="567"/>
      </w:pPr>
      <w:proofErr w:type="gramStart"/>
      <w:r>
        <w:rPr>
          <w:rFonts w:ascii="TimesNewRomanPSMT" w:hAnsi="TimesNewRomanPSMT" w:cs="TimesNewRomanPSMT"/>
        </w:rPr>
        <w:t xml:space="preserve">6.5.8 </w:t>
      </w:r>
      <w:r w:rsidR="004865BE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Where</w:t>
      </w:r>
      <w:proofErr w:type="gramEnd"/>
      <w:r>
        <w:rPr>
          <w:rFonts w:ascii="TimesNewRomanPSMT" w:hAnsi="TimesNewRomanPSMT" w:cs="TimesNewRomanPSMT"/>
        </w:rPr>
        <w:t xml:space="preserve"> a Transporter terminates the appointment of an agent it shall give notice to each</w:t>
      </w:r>
      <w:r w:rsidR="009D2E98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User specifying the date from which the termination is to take effect.</w:t>
      </w:r>
    </w:p>
    <w:sectPr w:rsidR="002A2733" w:rsidSect="005976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gethyn_h" w:date="2012-02-10T10:29:00Z" w:initials="g">
    <w:p w:rsidR="00AC48F4" w:rsidRDefault="00AC48F4">
      <w:pPr>
        <w:pStyle w:val="CommentText"/>
      </w:pPr>
      <w:r>
        <w:rPr>
          <w:rStyle w:val="CommentReference"/>
        </w:rPr>
        <w:annotationRef/>
      </w:r>
      <w:r>
        <w:t>This is UK link in UNC</w:t>
      </w:r>
    </w:p>
  </w:comment>
  <w:comment w:id="1" w:author="gethyn_h" w:date="2012-02-10T10:31:00Z" w:initials="g">
    <w:p w:rsidR="006A44FD" w:rsidRDefault="006A44FD">
      <w:pPr>
        <w:pStyle w:val="CommentText"/>
      </w:pPr>
      <w:r>
        <w:rPr>
          <w:rStyle w:val="CommentReference"/>
        </w:rPr>
        <w:annotationRef/>
      </w:r>
      <w:r>
        <w:t>Already done by Xoserve but this may need tweaking as there is no obligation on IGTs under E9.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116F1"/>
    <w:multiLevelType w:val="hybridMultilevel"/>
    <w:tmpl w:val="D7D6D710"/>
    <w:lvl w:ilvl="0" w:tplc="EBDE517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2A2733"/>
    <w:rsid w:val="002A2733"/>
    <w:rsid w:val="00403186"/>
    <w:rsid w:val="004865BE"/>
    <w:rsid w:val="00597637"/>
    <w:rsid w:val="006A44FD"/>
    <w:rsid w:val="009D2E98"/>
    <w:rsid w:val="00AC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C48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8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8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8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8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Inexus Services Ltd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gethyn_h</dc:creator>
  <cp:lastModifiedBy>gethyn_h</cp:lastModifiedBy>
  <cp:revision>4</cp:revision>
  <dcterms:created xsi:type="dcterms:W3CDTF">2012-02-10T10:05:00Z</dcterms:created>
  <dcterms:modified xsi:type="dcterms:W3CDTF">2012-02-10T10:33:00Z</dcterms:modified>
</cp:coreProperties>
</file>